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2lgb6g2qsprj" w:id="0"/>
      <w:bookmarkEnd w:id="0"/>
      <w:r w:rsidDel="00000000" w:rsidR="00000000" w:rsidRPr="00000000">
        <w:rPr>
          <w:rtl w:val="0"/>
        </w:rPr>
        <w:t xml:space="preserve">Recomendaciones para la atención </w:t>
        <w:br w:type="textWrapping"/>
        <w:t xml:space="preserve">de Personas con Discapacidad Auditiva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7788" cy="447788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88" cy="4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323850</wp:posOffset>
            </wp:positionV>
            <wp:extent cx="1724025" cy="1523168"/>
            <wp:effectExtent b="0" l="0" r="0" t="0"/>
            <wp:wrapSquare wrapText="bothSides" distB="228600" distT="228600" distL="228600" distR="228600"/>
            <wp:docPr descr="Lip reading and sign language: The history of deaf communication (FlipSide)  | Flipside News | wvgazettemail.com" id="2" name="image2.jpg"/>
            <a:graphic>
              <a:graphicData uri="http://schemas.openxmlformats.org/drawingml/2006/picture">
                <pic:pic>
                  <pic:nvPicPr>
                    <pic:cNvPr descr="Lip reading and sign language: The history of deaf communication (FlipSide)  | Flipside News | wvgazettemail.com" id="0" name="image2.jpg"/>
                    <pic:cNvPicPr preferRelativeResize="0"/>
                  </pic:nvPicPr>
                  <pic:blipFill>
                    <a:blip r:embed="rId7"/>
                    <a:srcRect b="0" l="700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23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Existen distintos tipos de Personas Sordas. Algunas usan la Lengua de Señas, otras pueden verbalizar o leer los labios.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caso de que usted no use la Lengua de Señas, intente con la comunicación escrita, mímica o el uso de imágenes a través del celular. 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571500</wp:posOffset>
            </wp:positionV>
            <wp:extent cx="1657350" cy="1840483"/>
            <wp:effectExtent b="0" l="0" r="0" t="0"/>
            <wp:wrapSquare wrapText="bothSides" distB="228600" distT="228600" distL="228600" distR="228600"/>
            <wp:docPr descr="Sign Language" id="1" name="image5.png"/>
            <a:graphic>
              <a:graphicData uri="http://schemas.openxmlformats.org/drawingml/2006/picture">
                <pic:pic>
                  <pic:nvPicPr>
                    <pic:cNvPr descr="Sign Language" id="0" name="image5.png"/>
                    <pic:cNvPicPr preferRelativeResize="0"/>
                  </pic:nvPicPr>
                  <pic:blipFill>
                    <a:blip r:embed="rId8"/>
                    <a:srcRect b="0" l="24077" r="2509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40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se desespere ni se cierre a la comunicación, interactuar con una Persona Sorda puede poner a prueba su creatividad para expresar alguna idea o concepto a través de dibujos o mímica. Tome su tiempo y deje que la Persona Sorda también, para que puedan comprenderse. 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1457325</wp:posOffset>
            </wp:positionV>
            <wp:extent cx="1657350" cy="1657350"/>
            <wp:effectExtent b="0" l="0" r="0" t="0"/>
            <wp:wrapSquare wrapText="bothSides" distB="228600" distT="228600" distL="228600" distR="228600"/>
            <wp:docPr descr="American Sign Language ASL Dictionary" id="3" name="image1.png"/>
            <a:graphic>
              <a:graphicData uri="http://schemas.openxmlformats.org/drawingml/2006/picture">
                <pic:pic>
                  <pic:nvPicPr>
                    <pic:cNvPr descr="American Sign Language ASL Dictionary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Algunos Sordos pueden leer los labios, no es necesario que grite o levante la voz. 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recomienda hablar de manera pausada, con palabras sencillas.</w:t>
      </w:r>
    </w:p>
    <w:p w:rsidR="00000000" w:rsidDel="00000000" w:rsidP="00000000" w:rsidRDefault="00000000" w:rsidRPr="00000000" w14:paraId="00000009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5529"/>
        </w:tabs>
        <w:spacing w:after="0"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17.3228346456694" w:top="1700.787401574803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line="36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4695825" cy="518671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0" w:line="36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rFonts w:ascii="Montserrat" w:cs="Montserrat" w:eastAsia="Montserrat" w:hAnsi="Montserrat"/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tabs>
          <w:tab w:val="left" w:pos="5529"/>
        </w:tabs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right="616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clusiondiscapacidad.sgg@jalisco.gob.mx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